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905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ESCOLA MUNICIPAL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0" w:sz="12" w:val="single"/>
        </w:pBdr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EDUCAÇÃO INFANTIL E ENSINO FUNDAMENTAL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(completar ou retirar de acordo com o que a unidade oferece)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                                           Preencher com endereço completo</w:t>
      </w:r>
    </w:p>
    <w:p w:rsidR="00000000" w:rsidDel="00000000" w:rsidP="00000000" w:rsidRDefault="00000000" w:rsidRPr="00000000" w14:paraId="00000004">
      <w:pPr>
        <w:ind w:left="2977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CEP: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Fone: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ROTINA SEMANAL PARA O MOMENTO DA ENTRADA DAS TURMAS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2016"/>
        <w:gridCol w:w="2094"/>
        <w:gridCol w:w="1985"/>
        <w:gridCol w:w="1843"/>
        <w:tblGridChange w:id="0">
          <w:tblGrid>
            <w:gridCol w:w="2269"/>
            <w:gridCol w:w="2016"/>
            <w:gridCol w:w="2094"/>
            <w:gridCol w:w="1985"/>
            <w:gridCol w:w="18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SEGUNDA-FEIRA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MANHÃ e TARDE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127" w:left="1134" w:right="1134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2714625</wp:posOffset>
          </wp:positionH>
          <wp:positionV relativeFrom="paragraph">
            <wp:posOffset>-156209</wp:posOffset>
          </wp:positionV>
          <wp:extent cx="2496312" cy="713232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6312" cy="7132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-323849</wp:posOffset>
          </wp:positionH>
          <wp:positionV relativeFrom="paragraph">
            <wp:posOffset>-156209</wp:posOffset>
          </wp:positionV>
          <wp:extent cx="2351723" cy="835267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1723" cy="8352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3">
    <w:name w:val="Título 3"/>
    <w:basedOn w:val="Normal"/>
    <w:next w:val="Título3"/>
    <w:autoRedefine w:val="0"/>
    <w:hidden w:val="0"/>
    <w:qFormat w:val="0"/>
    <w:pPr>
      <w:keepNext w:val="1"/>
      <w:suppressAutoHyphens w:val="0"/>
      <w:spacing w:after="60" w:before="240" w:line="1" w:lineRule="atLeast"/>
      <w:ind w:left="432" w:leftChars="-1" w:rightChars="0" w:hanging="432" w:firstLineChars="-1"/>
      <w:textDirection w:val="btLr"/>
      <w:textAlignment w:val="top"/>
      <w:outlineLvl w:val="2"/>
    </w:pPr>
    <w:rPr>
      <w:rFonts w:ascii="Arial" w:cs="Arial" w:eastAsia="Times New Roman" w:hAnsi="Arial"/>
      <w:b w:val="1"/>
      <w:bCs w:val="1"/>
      <w:color w:val="00000a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eastAsia="Times New Roman" w:hAnsi="Arial"/>
      <w:b w:val="1"/>
      <w:bCs w:val="1"/>
      <w:color w:val="00000a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color w:val="00000a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right="352"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Mn8XYqBXRbkcBGT0jeM3AfZDWQ==">CgMxLjA4AHIhMThoczNjQ3lOa0h5Rl9RelVQa0R4b0dDT1d2anA4Y2FK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2022-01-21T15:56:00Z</dcterms:created>
  <dc:creator>PMU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Prefeitura Municipal de Umuarama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