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405" cy="1064831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48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8"/>
          <w:szCs w:val="28"/>
        </w:rPr>
        <w:t>FICHA DE ANÁLISE DO DESEMPENHO ESCOLAR – 5º ANO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5"/>
          <w:szCs w:val="15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Escola </w:t>
      </w:r>
      <w:r>
        <w:rPr>
          <w:rFonts w:ascii="Arial" w:eastAsia="Arial" w:hAnsi="Arial" w:cs="Arial"/>
          <w:color w:val="FF0000"/>
          <w:sz w:val="28"/>
          <w:szCs w:val="28"/>
        </w:rPr>
        <w:t>xxxxxx</w:t>
      </w: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Estudante: </w:t>
      </w:r>
      <w:r>
        <w:rPr>
          <w:rFonts w:ascii="Arial" w:eastAsia="Arial" w:hAnsi="Arial" w:cs="Arial"/>
          <w:color w:val="FF0000"/>
          <w:sz w:val="28"/>
          <w:szCs w:val="28"/>
        </w:rPr>
        <w:t>xxxxxxxxxxxxxxxxxxxxx</w:t>
      </w: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Professor(a):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FF0000"/>
          <w:sz w:val="28"/>
          <w:szCs w:val="28"/>
        </w:rPr>
        <w:t>xxxxxxxxxxxxxxxxxxxxxxxxxxx</w:t>
      </w: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Período: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   ) manhã           (   ) tarde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tabs>
          <w:tab w:val="left" w:pos="1839"/>
        </w:tabs>
        <w:spacing w:line="360" w:lineRule="auto"/>
        <w:ind w:right="833"/>
        <w:jc w:val="both"/>
        <w:rPr>
          <w:color w:val="000000"/>
          <w:sz w:val="24"/>
          <w:szCs w:val="24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Quantidade de faltas. </w:t>
      </w:r>
      <w:r>
        <w:rPr>
          <w:rFonts w:ascii="Arial" w:eastAsia="Arial" w:hAnsi="Arial" w:cs="Arial"/>
          <w:color w:val="FF0000"/>
          <w:sz w:val="24"/>
          <w:szCs w:val="24"/>
        </w:rPr>
        <w:t>xx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Foi retido? (   ) Sim    (   ) Não </w:t>
      </w: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Quantas vezes?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xxxx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em qual ano/séri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?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Frequenta a Sala de Recurso Multifuncional? (   ) Sim    (   ) Não</w:t>
      </w: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4. Quanto à aquisição do sistema de escrita alfabética,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o(a)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</w:p>
    <w:tbl>
      <w:tblPr>
        <w:tblStyle w:val="a"/>
        <w:tblW w:w="9996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21"/>
      </w:tblGrid>
      <w:tr w:rsidR="00684D58">
        <w:tc>
          <w:tcPr>
            <w:tcW w:w="675" w:type="dxa"/>
          </w:tcPr>
          <w:p w:rsidR="00684D58" w:rsidRDefault="00C0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estudante está no nível ortográfico.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highlight w:val="white"/>
              </w:rPr>
              <w:t>(Além de compreender que cada som representa uma letra, escreve a palavra obedecendo aos princípios da ortografia).</w:t>
            </w:r>
          </w:p>
        </w:tc>
      </w:tr>
      <w:tr w:rsidR="00684D58">
        <w:tc>
          <w:tcPr>
            <w:tcW w:w="675" w:type="dxa"/>
          </w:tcPr>
          <w:p w:rsidR="00684D58" w:rsidRDefault="00C0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estudante está no nível alfabético.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highlight w:val="white"/>
              </w:rPr>
              <w:t>Compreende que cada som representa uma letra).</w:t>
            </w:r>
          </w:p>
        </w:tc>
      </w:tr>
      <w:tr w:rsidR="00684D58">
        <w:tc>
          <w:tcPr>
            <w:tcW w:w="675" w:type="dxa"/>
          </w:tcPr>
          <w:p w:rsidR="00684D58" w:rsidRDefault="00C0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tabs>
                <w:tab w:val="left" w:pos="575"/>
              </w:tabs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estudante está no nível silábico-alfabét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ico.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highlight w:val="white"/>
              </w:rPr>
              <w:t>Inclui sílabas representadas por uma única letra e outras sílabas com mais de uma letra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).</w:t>
            </w:r>
          </w:p>
        </w:tc>
      </w:tr>
      <w:tr w:rsidR="00684D58">
        <w:tc>
          <w:tcPr>
            <w:tcW w:w="675" w:type="dxa"/>
          </w:tcPr>
          <w:p w:rsidR="00684D58" w:rsidRDefault="00C0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tabs>
                <w:tab w:val="left" w:pos="5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estudante está no nível silábico.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highlight w:val="white"/>
              </w:rPr>
              <w:t>Representa uma letra para cada sílaba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).</w:t>
            </w:r>
          </w:p>
        </w:tc>
      </w:tr>
      <w:tr w:rsidR="00684D58">
        <w:tc>
          <w:tcPr>
            <w:tcW w:w="675" w:type="dxa"/>
          </w:tcPr>
          <w:p w:rsidR="00684D58" w:rsidRDefault="00C0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estudante está no nível pré-silábico.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(N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highlight w:val="white"/>
              </w:rPr>
              <w:t>ão apresenta relação entre grafia (letra) e fonema (som)).</w:t>
            </w:r>
          </w:p>
        </w:tc>
      </w:tr>
      <w:tr w:rsidR="00684D58">
        <w:tc>
          <w:tcPr>
            <w:tcW w:w="675" w:type="dxa"/>
          </w:tcPr>
          <w:p w:rsidR="00684D58" w:rsidRDefault="00C0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não foi possível avaliar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white"/>
              </w:rPr>
              <w:t>o/a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estudante.</w:t>
            </w:r>
          </w:p>
        </w:tc>
      </w:tr>
    </w:tbl>
    <w:p w:rsidR="00684D58" w:rsidRDefault="00684D58">
      <w:pPr>
        <w:jc w:val="both"/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jc w:val="both"/>
        <w:rPr>
          <w:rFonts w:ascii="Arial" w:eastAsia="Arial" w:hAnsi="Arial" w:cs="Arial"/>
          <w:color w:val="FF0000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Quanto à leitura, o estudante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(   ) não decodifica.                    (   ) lê silabando.              (   ) lê com fluência.  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Quanto à produção de texto de acordo com a situação comunicativa, o estudante produz texto com sequência coerente?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(   ) Sim.                    (   ) Parcialmente.              (   ) Não.  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84D58" w:rsidRDefault="00C07BC7">
      <w:pPr>
        <w:tabs>
          <w:tab w:val="left" w:pos="830"/>
        </w:tabs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7. Quanto ao sistema de numeração decimal, em relação à leitura,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o(a)</w:t>
      </w:r>
    </w:p>
    <w:p w:rsidR="00684D58" w:rsidRDefault="00684D58">
      <w:pPr>
        <w:ind w:left="426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</w:p>
    <w:tbl>
      <w:tblPr>
        <w:tblStyle w:val="a0"/>
        <w:tblW w:w="9996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21"/>
      </w:tblGrid>
      <w:tr w:rsidR="00684D58">
        <w:tc>
          <w:tcPr>
            <w:tcW w:w="675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estudante lê números entre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  <w:highlight w:val="white"/>
              </w:rPr>
              <w:t>(registrar de acordo com o que foi observado, por exemplo, para o 3º ano é esperado que os estudantes leem números entre 1 e 99.999, mas se o estudante lê números apenas entre 1 e 30, isso é o que deve ser registrado aqui)</w:t>
            </w:r>
          </w:p>
        </w:tc>
      </w:tr>
      <w:tr w:rsidR="00684D58">
        <w:tc>
          <w:tcPr>
            <w:tcW w:w="675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não foi possível avaliar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white"/>
              </w:rPr>
              <w:t>o/a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estudante.</w:t>
            </w:r>
          </w:p>
        </w:tc>
      </w:tr>
    </w:tbl>
    <w:p w:rsidR="00684D58" w:rsidRDefault="00684D58">
      <w:pPr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C07BC7">
      <w:pPr>
        <w:tabs>
          <w:tab w:val="left" w:pos="830"/>
        </w:tabs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        </w:t>
      </w:r>
    </w:p>
    <w:p w:rsidR="00684D58" w:rsidRDefault="00C07BC7">
      <w:pPr>
        <w:tabs>
          <w:tab w:val="left" w:pos="830"/>
        </w:tabs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8. Quanto ao sistema de numeração decimal, em relação à escrita,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o(a)</w:t>
      </w:r>
    </w:p>
    <w:p w:rsidR="00684D58" w:rsidRDefault="00684D58">
      <w:pPr>
        <w:ind w:left="426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</w:p>
    <w:tbl>
      <w:tblPr>
        <w:tblStyle w:val="a1"/>
        <w:tblW w:w="9996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21"/>
      </w:tblGrid>
      <w:tr w:rsidR="00684D58">
        <w:tc>
          <w:tcPr>
            <w:tcW w:w="675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estudante escreve números entre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16"/>
                <w:szCs w:val="16"/>
                <w:highlight w:val="white"/>
              </w:rPr>
              <w:t>(registrar de acordo com o que foi observado, por exemplo, para o 3º ano é esperado que os estudantes leem números entre 1 e 99.999, mas se o estudante lê números apenas entre 1 e 30, isso é o que deve ser registrado aqui)</w:t>
            </w:r>
          </w:p>
        </w:tc>
      </w:tr>
      <w:tr w:rsidR="00684D58">
        <w:tc>
          <w:tcPr>
            <w:tcW w:w="675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(    )</w:t>
            </w:r>
          </w:p>
        </w:tc>
        <w:tc>
          <w:tcPr>
            <w:tcW w:w="9321" w:type="dxa"/>
          </w:tcPr>
          <w:p w:rsidR="00684D58" w:rsidRDefault="00C07BC7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não foi possível avaliar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white"/>
              </w:rPr>
              <w:t>o/a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estudante.</w:t>
            </w:r>
          </w:p>
        </w:tc>
      </w:tr>
    </w:tbl>
    <w:p w:rsidR="00684D58" w:rsidRDefault="00684D58">
      <w:pPr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9. Calcula adição até a centena, sem e com agrupamento, utilizando o algoritmo?  </w:t>
      </w: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(   ) Sim    (   ) Não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 Calcula subtração até a centena, sem e com desagrupamento, utilizando o algoritmo?  </w:t>
      </w: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(   ) Sim    (   ) Não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rPr>
          <w:sz w:val="28"/>
          <w:szCs w:val="28"/>
        </w:rPr>
      </w:pPr>
    </w:p>
    <w:p w:rsidR="00684D58" w:rsidRDefault="00C07BC7">
      <w:pPr>
        <w:ind w:left="426" w:hanging="426"/>
        <w:jc w:val="both"/>
        <w:rPr>
          <w:rFonts w:ascii="Tahoma" w:eastAsia="Tahoma" w:hAnsi="Tahoma" w:cs="Tahoma"/>
          <w:sz w:val="24"/>
          <w:szCs w:val="24"/>
        </w:rPr>
      </w:pPr>
      <w:r>
        <w:rPr>
          <w:sz w:val="28"/>
          <w:szCs w:val="28"/>
        </w:rPr>
        <w:t xml:space="preserve">11. </w:t>
      </w:r>
      <w:r>
        <w:rPr>
          <w:rFonts w:ascii="Tahoma" w:eastAsia="Tahoma" w:hAnsi="Tahoma" w:cs="Tahoma"/>
          <w:sz w:val="24"/>
          <w:szCs w:val="24"/>
        </w:rPr>
        <w:t>Calcula multiplicação até centena no multiplicando e unidade no multiplicador.</w:t>
      </w: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(   ) Sim    (   ) Não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ind w:left="567" w:hanging="567"/>
        <w:jc w:val="both"/>
        <w:rPr>
          <w:rFonts w:ascii="Tahoma" w:eastAsia="Tahoma" w:hAnsi="Tahoma" w:cs="Tahoma"/>
          <w:sz w:val="24"/>
          <w:szCs w:val="24"/>
        </w:rPr>
      </w:pPr>
    </w:p>
    <w:p w:rsidR="00684D58" w:rsidRDefault="00C07BC7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12. Calcula divisão até a centena no dividendo e unidade no divisor.</w:t>
      </w: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(   ) Sim    (   ) Não</w:t>
      </w:r>
    </w:p>
    <w:p w:rsidR="00684D58" w:rsidRDefault="00684D58">
      <w:pPr>
        <w:rPr>
          <w:sz w:val="28"/>
          <w:szCs w:val="28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rPr>
          <w:sz w:val="28"/>
          <w:szCs w:val="28"/>
        </w:rPr>
      </w:pPr>
    </w:p>
    <w:p w:rsidR="00684D58" w:rsidRDefault="00C07BC7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13. Resolve situações-problema de adição?  </w:t>
      </w:r>
    </w:p>
    <w:p w:rsidR="00684D58" w:rsidRDefault="00C07BC7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sz w:val="28"/>
          <w:szCs w:val="28"/>
        </w:rPr>
        <w:t>(   ) Sim    (   ) Não</w:t>
      </w:r>
    </w:p>
    <w:p w:rsidR="00684D58" w:rsidRDefault="00684D5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84D58" w:rsidRDefault="00C07B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rPr>
          <w:sz w:val="28"/>
          <w:szCs w:val="28"/>
        </w:rPr>
      </w:pPr>
    </w:p>
    <w:p w:rsidR="00684D58" w:rsidRDefault="00684D58">
      <w:pPr>
        <w:rPr>
          <w:sz w:val="28"/>
          <w:szCs w:val="28"/>
        </w:rPr>
      </w:pPr>
    </w:p>
    <w:p w:rsidR="00684D58" w:rsidRDefault="00C07BC7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14. Resolve situações-problema de subtração?  </w:t>
      </w:r>
    </w:p>
    <w:p w:rsidR="00684D58" w:rsidRDefault="00C07BC7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(   ) Sim    (   ) Não</w:t>
      </w:r>
    </w:p>
    <w:p w:rsidR="00684D58" w:rsidRDefault="00C07B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widowControl/>
        <w:numPr>
          <w:ilvl w:val="0"/>
          <w:numId w:val="1"/>
        </w:numPr>
        <w:rPr>
          <w:sz w:val="28"/>
          <w:szCs w:val="28"/>
        </w:rPr>
      </w:pPr>
    </w:p>
    <w:p w:rsidR="00684D58" w:rsidRDefault="00C07BC7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15. Resolve situações-problema de multiplicação?  </w:t>
      </w:r>
    </w:p>
    <w:p w:rsidR="00684D58" w:rsidRDefault="00C07BC7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(   ) Sim    (   ) Não</w:t>
      </w:r>
    </w:p>
    <w:p w:rsidR="00684D58" w:rsidRDefault="00684D5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84D58" w:rsidRDefault="00C07B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rPr>
          <w:sz w:val="28"/>
          <w:szCs w:val="28"/>
        </w:rPr>
      </w:pPr>
    </w:p>
    <w:p w:rsidR="00684D58" w:rsidRDefault="00C07BC7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16. Resolve situações-problema de divisão?  </w:t>
      </w:r>
    </w:p>
    <w:p w:rsidR="00684D58" w:rsidRDefault="00C07BC7">
      <w:pPr>
        <w:rPr>
          <w:sz w:val="28"/>
          <w:szCs w:val="28"/>
        </w:rPr>
      </w:pPr>
      <w:r>
        <w:rPr>
          <w:sz w:val="28"/>
          <w:szCs w:val="28"/>
        </w:rPr>
        <w:t xml:space="preserve">         (   ) Sim    (   ) Não</w:t>
      </w:r>
    </w:p>
    <w:p w:rsidR="00684D58" w:rsidRDefault="00684D58">
      <w:pPr>
        <w:rPr>
          <w:sz w:val="28"/>
          <w:szCs w:val="28"/>
        </w:rPr>
      </w:pPr>
    </w:p>
    <w:p w:rsidR="00684D58" w:rsidRDefault="00C07B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FF0000"/>
          <w:sz w:val="24"/>
          <w:szCs w:val="24"/>
        </w:rPr>
        <w:t>xxxx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tabs>
          <w:tab w:val="left" w:pos="1839"/>
        </w:tabs>
        <w:spacing w:line="360" w:lineRule="auto"/>
        <w:ind w:right="833"/>
        <w:jc w:val="both"/>
        <w:rPr>
          <w:color w:val="000000"/>
        </w:rPr>
      </w:pPr>
    </w:p>
    <w:p w:rsidR="00684D58" w:rsidRDefault="00684D58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684D5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C7" w:rsidRDefault="00C07BC7" w:rsidP="00C07B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Conclusão da equipe pedagógica da unidade educacional </w:t>
            </w:r>
            <w:r w:rsidRPr="00EE6243">
              <w:rPr>
                <w:rFonts w:ascii="Arial" w:hAnsi="Arial" w:cs="Arial"/>
                <w:color w:val="FF0000"/>
                <w:sz w:val="20"/>
                <w:szCs w:val="20"/>
              </w:rPr>
              <w:t xml:space="preserve">(campo a ser preenchido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 pré-conselho agendado entre coordenadora pedagógica e professores, na hora-atividade, no período de 04 a 08/12/2023</w:t>
            </w:r>
            <w:r w:rsidRPr="00EE624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684D58" w:rsidRDefault="00684D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D58" w:rsidRDefault="00C07B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Após o pré-conselho realizado com o(a) professor(a) de turma, ficou decidido que o(a) estudante será</w:t>
            </w:r>
          </w:p>
          <w:p w:rsidR="00684D58" w:rsidRDefault="00C07B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  ) aprovado(a). (Preencher a </w:t>
            </w:r>
          </w:p>
          <w:p w:rsidR="00684D58" w:rsidRDefault="00C07B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reprovado(a).</w:t>
            </w:r>
          </w:p>
          <w:p w:rsidR="00684D58" w:rsidRDefault="00684D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84D58" w:rsidRDefault="00C07BC7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Encaminhados para o desenvolvimento das habilidades necessárias para o avanço na aprendizagem do(a) estudantes a serem realizados no ano de 2023: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Deve ser preenchido pelos gestores e professor(a) da t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urma antes do dia do assessoramento com a equipe AGE.</w:t>
            </w:r>
          </w:p>
          <w:p w:rsidR="00684D58" w:rsidRDefault="00684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684D58" w:rsidRDefault="00684D5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84D58" w:rsidRDefault="00684D58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684D5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C7" w:rsidRDefault="00C07BC7" w:rsidP="00C07BC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Conclusão da equipe AGE </w:t>
            </w:r>
            <w:r w:rsidRPr="00EE6243">
              <w:rPr>
                <w:rFonts w:ascii="Arial" w:hAnsi="Arial" w:cs="Arial"/>
                <w:color w:val="FF0000"/>
                <w:sz w:val="20"/>
                <w:szCs w:val="20"/>
              </w:rPr>
              <w:t xml:space="preserve">(campo a ser preenchido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pelas coordenações educacional de língua portuguesa e matemática</w:t>
            </w:r>
            <w:r w:rsidRPr="00EE624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684D58" w:rsidRDefault="00C07BC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Diante da análise do material do (a) estudante a Equipe de Assessoramento de Gestão Escolar - AGE orienta que o (a) estudante seja</w:t>
            </w:r>
          </w:p>
          <w:p w:rsidR="00684D58" w:rsidRDefault="00684D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D58" w:rsidRDefault="00C07B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aprovado(a).</w:t>
            </w:r>
          </w:p>
          <w:p w:rsidR="00684D58" w:rsidRDefault="00C07B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reprovado(a).</w:t>
            </w:r>
          </w:p>
          <w:p w:rsidR="00684D58" w:rsidRDefault="00684D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84D58" w:rsidRDefault="00C07BC7" w:rsidP="00C07BC7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Encaminhados para o desenvolvimento das habilidades necessárias para o avanço na aprendizagem do(a) estudantes a serem realizados no ano de 2024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Orientamos que, em 2024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, seja elaborado Plano de Ação Colaborativo - Aproveitamento Escolar dos(a) estudantes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com dificuldades de aprendizagem, com o objetivo de direcionar o trabalho pedagógico, de forma a superar as dificuldades apresentadas pelo(a) estudante. Sugerimos algumas ações que poderão ser contempladas no Plano: encaminhamento para atividades de contra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turno escolar como, por exemplo, Clube do Saber; caderno de tarefa de casa com atividades complementares com foco nas dificuldades de aprendizagem do aluno, mapa de sala contemplando assento do(a) estudante próximo ao professor. A elaboração do Plano de Aç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ão Colaborativo - Aproveitamento Escolar dos(a) estudantes com dificuldades de aprendizagem será orientado pela equipe AGE em fevereiro de 2024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, mediante essa ficha de acompanhamento (Entre outros que poderão ser acordados no momento da assessoria).</w:t>
            </w:r>
          </w:p>
        </w:tc>
      </w:tr>
    </w:tbl>
    <w:p w:rsidR="00684D58" w:rsidRDefault="00684D5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84D58" w:rsidRDefault="00684D5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84D58" w:rsidRDefault="00684D58">
      <w:pPr>
        <w:rPr>
          <w:rFonts w:ascii="Arial" w:eastAsia="Arial" w:hAnsi="Arial" w:cs="Arial"/>
          <w:sz w:val="24"/>
          <w:szCs w:val="24"/>
        </w:rPr>
      </w:pPr>
    </w:p>
    <w:p w:rsidR="00684D58" w:rsidRDefault="00684D58">
      <w:pPr>
        <w:rPr>
          <w:rFonts w:ascii="Arial" w:eastAsia="Arial" w:hAnsi="Arial" w:cs="Arial"/>
          <w:sz w:val="24"/>
          <w:szCs w:val="24"/>
        </w:rPr>
      </w:pPr>
    </w:p>
    <w:p w:rsidR="00684D58" w:rsidRDefault="00684D58">
      <w:pPr>
        <w:rPr>
          <w:rFonts w:ascii="Arial" w:eastAsia="Arial" w:hAnsi="Arial" w:cs="Arial"/>
          <w:sz w:val="24"/>
          <w:szCs w:val="24"/>
        </w:rPr>
      </w:pPr>
    </w:p>
    <w:p w:rsidR="00684D58" w:rsidRDefault="00684D58">
      <w:pPr>
        <w:rPr>
          <w:rFonts w:ascii="Arial" w:eastAsia="Arial" w:hAnsi="Arial" w:cs="Arial"/>
          <w:sz w:val="24"/>
          <w:szCs w:val="24"/>
        </w:rPr>
      </w:pPr>
    </w:p>
    <w:p w:rsidR="00684D58" w:rsidRDefault="00684D58">
      <w:pPr>
        <w:jc w:val="right"/>
        <w:rPr>
          <w:rFonts w:ascii="Arial" w:eastAsia="Arial" w:hAnsi="Arial" w:cs="Arial"/>
          <w:sz w:val="24"/>
          <w:szCs w:val="24"/>
        </w:rPr>
      </w:pPr>
    </w:p>
    <w:p w:rsidR="00684D58" w:rsidRDefault="00684D58">
      <w:pPr>
        <w:rPr>
          <w:rFonts w:ascii="Arial" w:eastAsia="Arial" w:hAnsi="Arial" w:cs="Arial"/>
          <w:sz w:val="24"/>
          <w:szCs w:val="24"/>
        </w:rPr>
      </w:pPr>
    </w:p>
    <w:p w:rsidR="00684D58" w:rsidRDefault="00C07BC7">
      <w:pPr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Umuarama, </w:t>
      </w:r>
      <w:r>
        <w:rPr>
          <w:rFonts w:ascii="Arial" w:eastAsia="Arial" w:hAnsi="Arial" w:cs="Arial"/>
          <w:color w:val="FF0000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 de dezembro de 2023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.</w:t>
      </w:r>
    </w:p>
    <w:p w:rsidR="00684D58" w:rsidRDefault="00684D58">
      <w:pPr>
        <w:pBdr>
          <w:top w:val="nil"/>
          <w:left w:val="nil"/>
          <w:bottom w:val="nil"/>
          <w:right w:val="nil"/>
          <w:between w:val="nil"/>
        </w:pBdr>
        <w:tabs>
          <w:tab w:val="left" w:pos="1839"/>
        </w:tabs>
        <w:spacing w:line="360" w:lineRule="auto"/>
        <w:ind w:right="833"/>
        <w:jc w:val="both"/>
        <w:rPr>
          <w:color w:val="000000"/>
        </w:rPr>
      </w:pPr>
    </w:p>
    <w:sectPr w:rsidR="00684D58">
      <w:pgSz w:w="11910" w:h="16840"/>
      <w:pgMar w:top="2269" w:right="853" w:bottom="127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E50"/>
    <w:multiLevelType w:val="multilevel"/>
    <w:tmpl w:val="8D4C25D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58"/>
    <w:rsid w:val="00684D58"/>
    <w:rsid w:val="00C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F4E"/>
  <w15:docId w15:val="{EE372C50-881C-43DA-9D24-5074E65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2023-11-30T11:03:00Z</dcterms:created>
  <dcterms:modified xsi:type="dcterms:W3CDTF">2023-11-30T11:03:00Z</dcterms:modified>
</cp:coreProperties>
</file>